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5647"/>
        <w:gridCol w:w="3822"/>
        <w:gridCol w:w="2256"/>
      </w:tblGrid>
      <w:tr>
        <w:trPr>
          <w:trHeight w:val="81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___квартал 2023__года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653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6132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1.Участие  в областных  фестивалях   национальных культур « Мы живем на Урале»,  «Венок Дружбы», «звуки музыки народной» и др.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 xml:space="preserve">2. 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Итоги сотрудничества с Республиками Татарстан, Башкортостан и Марий Эл. Организация и проведение  концертной и культурно-образовательной деятельности в 2023 году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ru-RU"/>
              </w:rPr>
              <w:t>3. О реализации в 2023 году мероприятий комплексной Программы «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-1"/>
                <w:sz w:val="24"/>
                <w:szCs w:val="24"/>
                <w:shd w:fill="auto" w:val="clear"/>
                <w:lang w:eastAsia="ru-RU"/>
              </w:rPr>
              <w:t xml:space="preserve">Гармонизация межнациональных и межконфес-сиональных отношений, профилактика экстремизма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ru-RU"/>
              </w:rPr>
              <w:t>на территории Артинского городского округа на 2023-2027 годы».  Показатели оценки эффективности и ожидаемых результатов выполнения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shd w:fill="auto" w:val="clear"/>
                <w:lang w:eastAsia="ru-RU"/>
              </w:rPr>
              <w:t>4. О плане работы Консультативного совета  на 2024 год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020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 комплексная Программа «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  <w:shd w:fill="auto" w:val="clear"/>
              </w:rPr>
              <w:t xml:space="preserve">Гармонизация межнациональных и межконфессиональных отношений, профилактика экстремизма 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 xml:space="preserve">на территории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Артинского городского округа на 2023-2027 годы»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,  утверждена постановлением Администрации Артинского городского округа от 31.01.2023 № 43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102,8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308,6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85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Курень «Ильчигуловский» в составе НО ХКО «Хутор Красноуфимский» (приказ от 12.12.2022г.)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70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106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Александр Сергеевич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Гарифуллин Гаптрашит Гайфуллович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62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57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07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33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7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не было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>-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723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территории имеется две организации использующие труд иностранных граждан ООО «Чанцин» и ООО «Силла». Иностранные граждане, осуществляющие  трудовую деятельность в  указанных организациях, состоят на миграционном учете по адресу организаций, где и фактически проживают.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Информации о проявлении экстремистской деятельности среди молодёжи за текущий период 2023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28.12.2023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94" w:h="11962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Знак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>
    <w:name w:val="Знак1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2">
    <w:name w:val="Знак2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>
    <w:name w:val="Знак Знак Знак Знак Знак Знак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>
    <w:name w:val="Знак3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>
    <w:name w:val="Знак4"/>
    <w:basedOn w:val="Normal"/>
    <w:qFormat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2566</TotalTime>
  <Application>LibreOffice/7.0.4.2$Windows_X86_64 LibreOffice_project/dcf040e67528d9187c66b2379df5ea4407429775</Application>
  <AppVersion>15.0000</AppVersion>
  <Pages>9</Pages>
  <Words>1421</Words>
  <Characters>11302</Characters>
  <CharactersWithSpaces>12574</CharactersWithSpaces>
  <Paragraphs>169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2023-12-28T09:31:38Z</cp:lastPrinted>
  <dcterms:modified xsi:type="dcterms:W3CDTF">2023-12-28T10:30:14Z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